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Trascrizione atto di morte avvenuta all'estero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di Stato civile, relativamente alla trascrizione dell'atto di morte avvenuta all'estero.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La morte di un cittadino italiano avvenuta all'estero deve essere trascritta in Italia.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396/2000 - Regolamento per la revisione e la semplificazione dell'ordinamento dello 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 Indirizzo:Piazza Signorelli n.1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E12D75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9F37E3" w:rsidRPr="00E12D75" w:rsidRDefault="00E12D75">
            <w:pPr>
              <w:jc w:val="both"/>
              <w:rPr>
                <w:lang w:val="en-US"/>
              </w:rPr>
            </w:pPr>
            <w:proofErr w:type="spellStart"/>
            <w:r w:rsidRPr="00E12D75">
              <w:rPr>
                <w:rFonts w:ascii="Arial" w:hAnsi="Arial"/>
                <w:lang w:val="en-US"/>
              </w:rPr>
              <w:t>EMail</w:t>
            </w:r>
            <w:proofErr w:type="spellEnd"/>
            <w:r w:rsidRPr="00E12D7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ricevimento dell'atto di morte dal Consolato o dalla parte interessata;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verifica anagrafica;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trascrizione dell'atto nei registri di Stato Civile;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invio di comunicazione dell'avvenuta trascrizione al Consolato o alla parte interessata; 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>- aggiornamento dei registri di Anagrafe e Stato Civile.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: trascrizione dell'atto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F37E3" w:rsidRDefault="00E12D75">
            <w:pPr>
              <w:jc w:val="both"/>
            </w:pPr>
            <w:r>
              <w:rPr>
                <w:rFonts w:ascii="Arial" w:hAnsi="Arial"/>
              </w:rPr>
              <w:t xml:space="preserve">- Tutela </w:t>
            </w:r>
            <w:r>
              <w:rPr>
                <w:rFonts w:ascii="Arial" w:hAnsi="Arial"/>
              </w:rPr>
              <w:t>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F37E3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12D75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2020-06-30T11:11:00Z</dcterms:modified>
</cp:coreProperties>
</file>